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cs="宋体"/>
          <w:sz w:val="44"/>
          <w:szCs w:val="44"/>
        </w:rPr>
      </w:pPr>
      <w:r>
        <w:rPr>
          <w:rFonts w:hint="eastAsia" w:cs="宋体"/>
          <w:sz w:val="44"/>
          <w:szCs w:val="44"/>
        </w:rPr>
        <w:t>《仪器仪表学报》投稿须知</w:t>
      </w: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1 前 言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《仪器仪表学报》是中国科协主管、中国仪器仪表学会主办，仪器仪表学科的学术性刊物。是中国仪器仪表领域的顶级学术刊物，主要报道仪器仪表领域及其交叉学科具有创新性的基础理论研究、工程技术应用的优秀科研成果。本刊为月刊，每月</w:t>
      </w:r>
      <w:r>
        <w:rPr>
          <w:rFonts w:hint="eastAsia" w:cs="宋体"/>
          <w:bCs/>
          <w:color w:val="000000"/>
          <w:kern w:val="0"/>
          <w:sz w:val="24"/>
          <w:szCs w:val="24"/>
          <w:lang w:val="en-US" w:eastAsia="zh-CN"/>
        </w:rPr>
        <w:t>30</w:t>
      </w:r>
      <w:r>
        <w:rPr>
          <w:rFonts w:hint="eastAsia" w:cs="宋体"/>
          <w:bCs/>
          <w:color w:val="000000"/>
          <w:kern w:val="0"/>
          <w:sz w:val="24"/>
          <w:szCs w:val="24"/>
        </w:rPr>
        <w:t>日出版，被Ei、CA、AJ、中国期刊网全文数据库等国内外多家知名检索系统收录。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本刊刊登仪器科学与技术及其交叉学科的优秀科研论文。主要包括以下栏目：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1）信息处理技术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2）精密仪器与测量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3）传感器技术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4）自动控制技术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5）电子测量仪器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6）检测技术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7）视觉测量与图像处理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8）基于网络的测量技术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9）生物信息检测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10）交叉与前沿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本刊论文类型：研究型论文、综述性论文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论文基本要求：主题明确、突出创新、论证严密、数据可靠、实验真实、语言简明。</w:t>
      </w:r>
    </w:p>
    <w:p>
      <w:pPr>
        <w:ind w:firstLine="480" w:firstLineChars="200"/>
        <w:rPr>
          <w:sz w:val="24"/>
          <w:szCs w:val="24"/>
        </w:rPr>
      </w:pPr>
    </w:p>
    <w:p>
      <w:pPr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2撰稿</w:t>
      </w:r>
    </w:p>
    <w:p>
      <w:pPr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2.1总则</w:t>
      </w:r>
    </w:p>
    <w:p>
      <w:pPr>
        <w:spacing w:line="360" w:lineRule="auto"/>
        <w:ind w:firstLine="333" w:firstLineChars="150"/>
        <w:rPr>
          <w:rFonts w:ascii="宋体" w:hAnsi="宋体" w:cs="宋体"/>
          <w:color w:val="000000"/>
          <w:spacing w:val="-9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color w:val="000000"/>
          <w:spacing w:val="-9"/>
          <w:sz w:val="24"/>
          <w:szCs w:val="24"/>
          <w:shd w:val="clear" w:color="auto" w:fill="FFFFFF"/>
        </w:rPr>
        <w:t>来稿应具有创新性、科学性、实用性，内容应未发表过或未被其他公开出版物刊载过。请勿一稿多投。研究综述一般应为8000~10000字；研究论文、技术应用类文章一般应为5000~8000字。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2.2标题(中英文对照）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应简明扼要，能确切反映全文主要内容，通常控制在20字以内。尽量避免使用符号、简称、缩写及商品名等。采用中英文标题对照形式，中英文标题应一致。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英文标题通常不超过10个实词。第一个实词的第一个字母大写，其余除特定缩略词外均小写，第一个词尽量避免使用冠词。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2.3作者和单位（中英文对照）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所有作者应对文稿内容负责，且应对署名次序没有异议，应与版权转让协议上作者顺序一致。署名为第一的单位应是稿件报道研究的知识产权所属单位。作者如系多单位，</w:t>
      </w:r>
      <w:r>
        <w:rPr>
          <w:rFonts w:cs="宋体"/>
          <w:bCs/>
          <w:color w:val="000000"/>
          <w:kern w:val="0"/>
          <w:sz w:val="24"/>
          <w:szCs w:val="24"/>
        </w:rPr>
        <w:t>应分别注明单位全称</w:t>
      </w:r>
      <w:r>
        <w:rPr>
          <w:rFonts w:hint="eastAsia" w:cs="宋体"/>
          <w:bCs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作者中英文名字应姓前名后，在右上角标明作者所属单位；英文名字应姓的首字母大写、名的首字母大写，其余小写，双字名连写。中文作者单位包括单位全称、单位所在城市和邮编；英文工作单位结尾处应加国籍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2.4摘要（中英文对照）</w:t>
      </w:r>
    </w:p>
    <w:p>
      <w:pPr>
        <w:spacing w:line="360" w:lineRule="auto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 xml:space="preserve"> 所有文章均</w:t>
      </w:r>
      <w:r>
        <w:rPr>
          <w:rFonts w:cs="宋体"/>
          <w:bCs/>
          <w:color w:val="000000"/>
          <w:kern w:val="0"/>
          <w:sz w:val="24"/>
          <w:szCs w:val="24"/>
        </w:rPr>
        <w:t>须附中英文摘要</w:t>
      </w:r>
      <w:r>
        <w:rPr>
          <w:rFonts w:hint="eastAsia" w:cs="宋体"/>
          <w:bCs/>
          <w:color w:val="000000"/>
          <w:kern w:val="0"/>
          <w:sz w:val="24"/>
          <w:szCs w:val="24"/>
        </w:rPr>
        <w:t>，研究型论文</w:t>
      </w:r>
      <w:r>
        <w:rPr>
          <w:rFonts w:cs="宋体"/>
          <w:bCs/>
          <w:color w:val="000000"/>
          <w:kern w:val="0"/>
          <w:sz w:val="24"/>
          <w:szCs w:val="24"/>
        </w:rPr>
        <w:t>按照结构式摘要撰写</w:t>
      </w:r>
      <w:r>
        <w:rPr>
          <w:rFonts w:hint="eastAsia" w:cs="宋体"/>
          <w:bCs/>
          <w:color w:val="000000"/>
          <w:kern w:val="0"/>
          <w:sz w:val="24"/>
          <w:szCs w:val="24"/>
        </w:rPr>
        <w:t>,</w:t>
      </w:r>
      <w:r>
        <w:rPr>
          <w:rFonts w:cs="宋体"/>
          <w:bCs/>
          <w:color w:val="000000"/>
          <w:kern w:val="0"/>
          <w:sz w:val="24"/>
          <w:szCs w:val="24"/>
        </w:rPr>
        <w:t> </w:t>
      </w:r>
      <w:r>
        <w:rPr>
          <w:rFonts w:hint="eastAsia" w:cs="宋体"/>
          <w:bCs/>
          <w:color w:val="000000"/>
          <w:kern w:val="0"/>
          <w:sz w:val="24"/>
          <w:szCs w:val="24"/>
        </w:rPr>
        <w:t>内容应</w:t>
      </w:r>
      <w:r>
        <w:rPr>
          <w:rFonts w:cs="宋体"/>
          <w:bCs/>
          <w:color w:val="000000"/>
          <w:kern w:val="0"/>
          <w:sz w:val="24"/>
          <w:szCs w:val="24"/>
        </w:rPr>
        <w:t>包括:</w:t>
      </w:r>
      <w:r>
        <w:rPr>
          <w:rFonts w:hint="eastAsia" w:cs="宋体"/>
          <w:bCs/>
          <w:color w:val="000000"/>
          <w:kern w:val="0"/>
          <w:sz w:val="24"/>
          <w:szCs w:val="24"/>
        </w:rPr>
        <w:t>目的</w:t>
      </w:r>
      <w:r>
        <w:rPr>
          <w:rFonts w:cs="宋体"/>
          <w:bCs/>
          <w:color w:val="000000"/>
          <w:kern w:val="0"/>
          <w:sz w:val="24"/>
          <w:szCs w:val="24"/>
        </w:rPr>
        <w:t>(O</w:t>
      </w:r>
      <w:r>
        <w:rPr>
          <w:rFonts w:hint="eastAsia" w:cs="宋体"/>
          <w:bCs/>
          <w:color w:val="000000"/>
          <w:kern w:val="0"/>
          <w:sz w:val="24"/>
          <w:szCs w:val="24"/>
        </w:rPr>
        <w:t>bjective</w:t>
      </w:r>
      <w:r>
        <w:rPr>
          <w:rFonts w:cs="宋体"/>
          <w:bCs/>
          <w:color w:val="000000"/>
          <w:kern w:val="0"/>
          <w:sz w:val="24"/>
          <w:szCs w:val="24"/>
        </w:rPr>
        <w:t>)、方法(Method)、结果(Results)和结论(Conclusion)</w:t>
      </w:r>
      <w:r>
        <w:rPr>
          <w:rFonts w:hint="eastAsia" w:cs="宋体"/>
          <w:bCs/>
          <w:color w:val="000000"/>
          <w:kern w:val="0"/>
          <w:sz w:val="24"/>
          <w:szCs w:val="24"/>
        </w:rPr>
        <w:t>四个部分，</w:t>
      </w:r>
      <w:r>
        <w:rPr>
          <w:rFonts w:cs="宋体"/>
          <w:bCs/>
          <w:color w:val="000000"/>
          <w:kern w:val="0"/>
          <w:sz w:val="24"/>
          <w:szCs w:val="24"/>
        </w:rPr>
        <w:t>综述性摘要可以为描述性摘要，应条理清晰, 不得过于简单。英文摘要应与中文摘要文意一致。</w:t>
      </w:r>
      <w:r>
        <w:rPr>
          <w:rFonts w:hint="eastAsia" w:cs="宋体"/>
          <w:bCs/>
          <w:color w:val="000000"/>
          <w:kern w:val="0"/>
          <w:sz w:val="24"/>
          <w:szCs w:val="24"/>
        </w:rPr>
        <w:t>摘要中应避免缩写词和公式。</w:t>
      </w:r>
      <w:r>
        <w:rPr>
          <w:rFonts w:cs="宋体"/>
          <w:bCs/>
          <w:color w:val="000000"/>
          <w:kern w:val="0"/>
          <w:sz w:val="24"/>
          <w:szCs w:val="24"/>
        </w:rPr>
        <w:t>摘要文字要求不少于</w:t>
      </w:r>
      <w:r>
        <w:rPr>
          <w:rFonts w:hint="eastAsia" w:cs="宋体"/>
          <w:bCs/>
          <w:color w:val="000000"/>
          <w:kern w:val="0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cs="宋体"/>
          <w:bCs/>
          <w:color w:val="000000"/>
          <w:kern w:val="0"/>
          <w:sz w:val="24"/>
          <w:szCs w:val="24"/>
        </w:rPr>
        <w:t>00字, 要有主要数据。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2.5关键词（中英文对照）</w:t>
      </w:r>
    </w:p>
    <w:p>
      <w:pPr>
        <w:spacing w:line="360" w:lineRule="auto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在摘要下标注3-8个关键词，最多不超过8个，应尽量简洁。中英文应符合全国科学技术名词审定委员会颁布的规范学术名词。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2.6中图分类号、文献标识码和国家标准分类代码</w:t>
      </w:r>
    </w:p>
    <w:p>
      <w:pPr>
        <w:spacing w:line="360" w:lineRule="auto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应在关键词下方给出论文的中图分类号、文献标识码及国家标准分类代码。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2.7基金项目</w:t>
      </w:r>
    </w:p>
    <w:p>
      <w:pPr>
        <w:spacing w:line="360" w:lineRule="auto"/>
        <w:ind w:firstLine="360" w:firstLineChars="15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cs="宋体"/>
          <w:bCs/>
          <w:color w:val="000000"/>
          <w:kern w:val="0"/>
          <w:sz w:val="24"/>
          <w:szCs w:val="24"/>
        </w:rPr>
        <w:t>若</w:t>
      </w:r>
      <w:r>
        <w:rPr>
          <w:rFonts w:hint="eastAsia" w:cs="宋体"/>
          <w:bCs/>
          <w:color w:val="000000"/>
          <w:kern w:val="0"/>
          <w:sz w:val="24"/>
          <w:szCs w:val="24"/>
        </w:rPr>
        <w:t>文章</w:t>
      </w:r>
      <w:r>
        <w:rPr>
          <w:rFonts w:cs="宋体"/>
          <w:bCs/>
          <w:color w:val="000000"/>
          <w:kern w:val="0"/>
          <w:sz w:val="24"/>
          <w:szCs w:val="24"/>
        </w:rPr>
        <w:t>为基金资助课题</w:t>
      </w:r>
      <w:r>
        <w:rPr>
          <w:rFonts w:hint="eastAsia" w:cs="宋体"/>
          <w:bCs/>
          <w:color w:val="000000"/>
          <w:kern w:val="0"/>
          <w:sz w:val="24"/>
          <w:szCs w:val="24"/>
        </w:rPr>
        <w:t>,</w:t>
      </w:r>
      <w:r>
        <w:rPr>
          <w:rFonts w:cs="宋体"/>
          <w:bCs/>
          <w:color w:val="000000"/>
          <w:kern w:val="0"/>
          <w:sz w:val="24"/>
          <w:szCs w:val="24"/>
        </w:rPr>
        <w:t>请在首页下角</w:t>
      </w:r>
      <w:r>
        <w:rPr>
          <w:rFonts w:hint="eastAsia" w:cs="宋体"/>
          <w:bCs/>
          <w:color w:val="000000"/>
          <w:kern w:val="0"/>
          <w:sz w:val="24"/>
          <w:szCs w:val="24"/>
        </w:rPr>
        <w:t>以中文</w:t>
      </w:r>
      <w:r>
        <w:rPr>
          <w:rFonts w:cs="宋体"/>
          <w:bCs/>
          <w:color w:val="000000"/>
          <w:kern w:val="0"/>
          <w:sz w:val="24"/>
          <w:szCs w:val="24"/>
        </w:rPr>
        <w:t>注明基金项目名称和编号。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2.8正文</w:t>
      </w:r>
    </w:p>
    <w:p>
      <w:pPr>
        <w:spacing w:line="360" w:lineRule="auto"/>
        <w:ind w:firstLine="360" w:firstLineChars="15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研究类论文一般按引言、方法与实验、结果、结论四段格式撰写，后附参考文献及作者简介，所有内容均按双栏排。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2.8.2引言</w:t>
      </w:r>
    </w:p>
    <w:p>
      <w:pPr>
        <w:spacing w:line="360" w:lineRule="auto"/>
        <w:ind w:firstLine="480" w:firstLineChars="200"/>
        <w:rPr>
          <w:rFonts w:ascii="方正书宋简体" w:hAnsi="方正书宋简体" w:eastAsia="方正书宋简体" w:cs="方正书宋简体"/>
          <w:color w:val="000000"/>
          <w:sz w:val="27"/>
          <w:szCs w:val="27"/>
          <w:shd w:val="clear" w:color="auto" w:fill="FFFFFF"/>
        </w:rPr>
      </w:pPr>
      <w:r>
        <w:rPr>
          <w:rFonts w:cs="宋体"/>
          <w:bCs/>
          <w:color w:val="000000"/>
          <w:kern w:val="0"/>
          <w:sz w:val="24"/>
          <w:szCs w:val="24"/>
        </w:rPr>
        <w:t>引言要简要说明研究工作的目的、范围、相关领域的前人工作和知识空白、理论基础和分析、研究设想、研究方法和实验设计、预期结果和意义等。应言简意赅，不要与摘要雷同，不要成为摘要的注释。一般教科书中有的知识，在引言中不必赘述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2.8.3方法与实验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针对本文实验设计阐述相应的方法及验证实验，按原始实验步骤予以客观详尽地描述。若方法学采用的是他人已报道的文献方法，描述应简洁，并引用相关文献；若方法学是自己创新或他人方法的改进，则应详细描述，保证研究的可靠性并使读者可以根据内容验证实验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2.8.4结果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cs="宋体"/>
          <w:bCs/>
          <w:color w:val="000000"/>
          <w:kern w:val="0"/>
          <w:sz w:val="24"/>
          <w:szCs w:val="24"/>
        </w:rPr>
        <w:t>在正文和图表中按逻辑顺序描述</w:t>
      </w:r>
      <w:r>
        <w:rPr>
          <w:rFonts w:hint="eastAsia" w:cs="宋体"/>
          <w:bCs/>
          <w:color w:val="000000"/>
          <w:kern w:val="0"/>
          <w:sz w:val="24"/>
          <w:szCs w:val="24"/>
        </w:rPr>
        <w:t>实验</w:t>
      </w:r>
      <w:r>
        <w:rPr>
          <w:rFonts w:cs="宋体"/>
          <w:bCs/>
          <w:color w:val="000000"/>
          <w:kern w:val="0"/>
          <w:sz w:val="24"/>
          <w:szCs w:val="24"/>
        </w:rPr>
        <w:t>结果</w:t>
      </w:r>
      <w:r>
        <w:rPr>
          <w:rFonts w:hint="eastAsia" w:cs="宋体"/>
          <w:bCs/>
          <w:color w:val="000000"/>
          <w:kern w:val="0"/>
          <w:sz w:val="24"/>
          <w:szCs w:val="24"/>
        </w:rPr>
        <w:t>,</w:t>
      </w:r>
      <w:r>
        <w:rPr>
          <w:rFonts w:cs="宋体"/>
          <w:bCs/>
          <w:color w:val="000000"/>
          <w:kern w:val="0"/>
          <w:sz w:val="24"/>
          <w:szCs w:val="24"/>
        </w:rPr>
        <w:t>正文不要重复图表数据。同样数据不要同时既</w:t>
      </w:r>
      <w:r>
        <w:rPr>
          <w:rFonts w:hint="eastAsia" w:cs="宋体"/>
          <w:bCs/>
          <w:color w:val="000000"/>
          <w:kern w:val="0"/>
          <w:sz w:val="24"/>
          <w:szCs w:val="24"/>
        </w:rPr>
        <w:t>用图</w:t>
      </w:r>
      <w:r>
        <w:rPr>
          <w:rFonts w:cs="宋体"/>
          <w:bCs/>
          <w:color w:val="000000"/>
          <w:kern w:val="0"/>
          <w:sz w:val="24"/>
          <w:szCs w:val="24"/>
        </w:rPr>
        <w:t>又用表</w:t>
      </w:r>
      <w:r>
        <w:rPr>
          <w:rFonts w:hint="eastAsia" w:cs="宋体"/>
          <w:bCs/>
          <w:color w:val="000000"/>
          <w:kern w:val="0"/>
          <w:sz w:val="24"/>
          <w:szCs w:val="24"/>
        </w:rPr>
        <w:t>来</w:t>
      </w:r>
      <w:r>
        <w:rPr>
          <w:rFonts w:cs="宋体"/>
          <w:bCs/>
          <w:color w:val="000000"/>
          <w:kern w:val="0"/>
          <w:sz w:val="24"/>
          <w:szCs w:val="24"/>
        </w:rPr>
        <w:t>表</w:t>
      </w:r>
      <w:r>
        <w:rPr>
          <w:rFonts w:hint="eastAsia" w:cs="宋体"/>
          <w:bCs/>
          <w:color w:val="000000"/>
          <w:kern w:val="0"/>
          <w:sz w:val="24"/>
          <w:szCs w:val="24"/>
        </w:rPr>
        <w:t>达。</w:t>
      </w:r>
      <w:r>
        <w:rPr>
          <w:rFonts w:cs="宋体"/>
          <w:bCs/>
          <w:color w:val="000000"/>
          <w:kern w:val="0"/>
          <w:sz w:val="24"/>
          <w:szCs w:val="24"/>
        </w:rPr>
        <w:t>统计数据必须给出统计方法和表述形式。避免单线图和单组数据表。图表中数据均应给出样本量和标准差。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2.8.5结论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cs="宋体"/>
          <w:bCs/>
          <w:color w:val="000000"/>
          <w:kern w:val="0"/>
          <w:sz w:val="24"/>
          <w:szCs w:val="24"/>
        </w:rPr>
        <w:t>着重讨论本研究中创新和重要的发现</w:t>
      </w:r>
      <w:r>
        <w:rPr>
          <w:rFonts w:hint="eastAsia" w:cs="宋体"/>
          <w:bCs/>
          <w:color w:val="000000"/>
          <w:kern w:val="0"/>
          <w:sz w:val="24"/>
          <w:szCs w:val="24"/>
        </w:rPr>
        <w:t>、</w:t>
      </w:r>
      <w:r>
        <w:rPr>
          <w:rFonts w:cs="宋体"/>
          <w:bCs/>
          <w:color w:val="000000"/>
          <w:kern w:val="0"/>
          <w:sz w:val="24"/>
          <w:szCs w:val="24"/>
        </w:rPr>
        <w:t>存在的不足</w:t>
      </w:r>
      <w:r>
        <w:rPr>
          <w:rFonts w:hint="eastAsia" w:cs="宋体"/>
          <w:bCs/>
          <w:color w:val="000000"/>
          <w:kern w:val="0"/>
          <w:sz w:val="24"/>
          <w:szCs w:val="24"/>
        </w:rPr>
        <w:t>、</w:t>
      </w:r>
      <w:r>
        <w:rPr>
          <w:rFonts w:cs="宋体"/>
          <w:bCs/>
          <w:color w:val="000000"/>
          <w:kern w:val="0"/>
          <w:sz w:val="24"/>
          <w:szCs w:val="24"/>
        </w:rPr>
        <w:t>以及由此得出的结论,不要重复在前言或结果部分的数据或其他资料。可推论这些发现的可能影响及进一步研究的意义,但需结合研究结果。对本文创新结果的总结, 必须有与已知文献结果的比较分析。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2.9层次结构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cs="宋体"/>
          <w:bCs/>
          <w:color w:val="000000"/>
          <w:kern w:val="0"/>
          <w:sz w:val="24"/>
          <w:szCs w:val="24"/>
        </w:rPr>
        <w:t>各层次一律采用阿拉伯数字分级编号</w:t>
      </w:r>
      <w:r>
        <w:rPr>
          <w:rFonts w:hint="eastAsia" w:cs="宋体"/>
          <w:bCs/>
          <w:color w:val="000000"/>
          <w:kern w:val="0"/>
          <w:sz w:val="24"/>
          <w:szCs w:val="24"/>
        </w:rPr>
        <w:t>,</w:t>
      </w:r>
      <w:r>
        <w:rPr>
          <w:rFonts w:cs="宋体"/>
          <w:bCs/>
          <w:color w:val="000000"/>
          <w:kern w:val="0"/>
          <w:sz w:val="24"/>
          <w:szCs w:val="24"/>
        </w:rPr>
        <w:t>均左顶格书写, 后空一格写标题文字;二级以上层次序号的数字间用下圆点相隔,末位数字后不加圆点。如1, 1.1, 1.1.1……</w:t>
      </w:r>
      <w:r>
        <w:rPr>
          <w:rFonts w:hint="eastAsia" w:cs="宋体"/>
          <w:bCs/>
          <w:color w:val="000000"/>
          <w:kern w:val="0"/>
          <w:sz w:val="24"/>
          <w:szCs w:val="24"/>
        </w:rPr>
        <w:t>具体排版格式请在投稿系统中下载论文排版模板。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2.10表、图和公式</w:t>
      </w:r>
    </w:p>
    <w:p>
      <w:pPr>
        <w:spacing w:line="360" w:lineRule="auto"/>
        <w:ind w:firstLine="480" w:firstLineChars="2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cs="宋体"/>
          <w:bCs/>
          <w:color w:val="000000"/>
          <w:kern w:val="0"/>
          <w:sz w:val="24"/>
          <w:szCs w:val="24"/>
        </w:rPr>
        <w:t>按表</w:t>
      </w:r>
      <w:r>
        <w:rPr>
          <w:rFonts w:hint="eastAsia" w:cs="宋体"/>
          <w:bCs/>
          <w:color w:val="000000"/>
          <w:kern w:val="0"/>
          <w:sz w:val="24"/>
          <w:szCs w:val="24"/>
        </w:rPr>
        <w:t>、</w:t>
      </w:r>
      <w:r>
        <w:rPr>
          <w:rFonts w:cs="宋体"/>
          <w:bCs/>
          <w:color w:val="000000"/>
          <w:kern w:val="0"/>
          <w:sz w:val="24"/>
          <w:szCs w:val="24"/>
        </w:rPr>
        <w:t>图</w:t>
      </w:r>
      <w:r>
        <w:rPr>
          <w:rFonts w:hint="eastAsia" w:cs="宋体"/>
          <w:bCs/>
          <w:color w:val="000000"/>
          <w:kern w:val="0"/>
          <w:sz w:val="24"/>
          <w:szCs w:val="24"/>
        </w:rPr>
        <w:t>公式</w:t>
      </w:r>
      <w:r>
        <w:rPr>
          <w:rFonts w:cs="宋体"/>
          <w:bCs/>
          <w:color w:val="000000"/>
          <w:kern w:val="0"/>
          <w:sz w:val="24"/>
          <w:szCs w:val="24"/>
        </w:rPr>
        <w:t>在正文中出现的先后顺序连续</w:t>
      </w:r>
      <w:r>
        <w:rPr>
          <w:rFonts w:hint="eastAsia" w:cs="宋体"/>
          <w:bCs/>
          <w:color w:val="000000"/>
          <w:kern w:val="0"/>
          <w:sz w:val="24"/>
          <w:szCs w:val="24"/>
        </w:rPr>
        <w:t>统一</w:t>
      </w:r>
      <w:r>
        <w:rPr>
          <w:rFonts w:cs="宋体"/>
          <w:bCs/>
          <w:color w:val="000000"/>
          <w:kern w:val="0"/>
          <w:sz w:val="24"/>
          <w:szCs w:val="24"/>
        </w:rPr>
        <w:t>编号。</w:t>
      </w:r>
      <w:r>
        <w:rPr>
          <w:rFonts w:hint="eastAsia" w:cs="宋体"/>
          <w:bCs/>
          <w:color w:val="000000"/>
          <w:kern w:val="0"/>
          <w:sz w:val="24"/>
          <w:szCs w:val="24"/>
        </w:rPr>
        <w:t>表和图标题需中英文对照形式</w:t>
      </w:r>
      <w:r>
        <w:rPr>
          <w:rFonts w:cs="宋体"/>
          <w:bCs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2.10.1表</w:t>
      </w:r>
    </w:p>
    <w:p>
      <w:pPr>
        <w:spacing w:line="360" w:lineRule="auto"/>
        <w:ind w:firstLine="360" w:firstLineChars="15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使用三线</w:t>
      </w:r>
      <w:r>
        <w:rPr>
          <w:rFonts w:cs="宋体"/>
          <w:bCs/>
          <w:color w:val="000000"/>
          <w:kern w:val="0"/>
          <w:sz w:val="24"/>
          <w:szCs w:val="24"/>
        </w:rPr>
        <w:t>表</w:t>
      </w:r>
      <w:r>
        <w:rPr>
          <w:rFonts w:hint="eastAsia" w:cs="宋体"/>
          <w:bCs/>
          <w:color w:val="000000"/>
          <w:kern w:val="0"/>
          <w:sz w:val="24"/>
          <w:szCs w:val="24"/>
        </w:rPr>
        <w:t>，即栏头取消斜线，表身不出现竖线，尽量删减分割线。</w:t>
      </w:r>
      <w:r>
        <w:rPr>
          <w:rFonts w:cs="宋体"/>
          <w:bCs/>
          <w:color w:val="000000"/>
          <w:kern w:val="0"/>
          <w:sz w:val="24"/>
          <w:szCs w:val="24"/>
        </w:rPr>
        <w:t>应正确、易懂、符合统计学要求。</w:t>
      </w:r>
      <w:r>
        <w:rPr>
          <w:rFonts w:hint="eastAsia" w:cs="宋体"/>
          <w:bCs/>
          <w:color w:val="000000"/>
          <w:kern w:val="0"/>
          <w:sz w:val="24"/>
          <w:szCs w:val="24"/>
        </w:rPr>
        <w:t>表序、表题在表格上方居中排列。若表中数据单位统一，应在表格右上方统一标出。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2.10.2图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图中外文除公认的缩略词外均译成中文。函数图的表目由物理量、相应符号和单位组成，符号用斜体，单位用正体，如电流I/A、时间t/s。</w:t>
      </w:r>
    </w:p>
    <w:p>
      <w:pPr>
        <w:spacing w:line="360" w:lineRule="auto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图中若有多条曲线，应该用不同的线型作出区分。照片图应提供对比度清晰、像素大于800万的图片，照片图中所有人工符号均应在图注中予以说明，照片图应为真实实验的原照，不得人工加工。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2.10.3公式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公式中的变量请用白斜体，公式中的向量、矩阵、张量请用黑斜体。常数（如自然常数e、虚数单位j、圆周率π等）请用正体。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2.11名词术语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以全国科学技术名词审定委员会审定公布的相关名词为准。名词术语首次出现格式应为：中文全称（英文全称，英文缩写）。</w:t>
      </w:r>
    </w:p>
    <w:p>
      <w:pPr>
        <w:spacing w:line="360" w:lineRule="auto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例如： 全球定位系统（global positioning system,GPS</w:t>
      </w:r>
      <w:r>
        <w:rPr>
          <w:rFonts w:cs="宋体"/>
          <w:bCs/>
          <w:color w:val="000000"/>
          <w:kern w:val="0"/>
          <w:sz w:val="24"/>
          <w:szCs w:val="24"/>
        </w:rPr>
        <w:t>）</w:t>
      </w:r>
    </w:p>
    <w:p>
      <w:pPr>
        <w:spacing w:line="360" w:lineRule="auto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2.12计量单位</w:t>
      </w:r>
    </w:p>
    <w:p>
      <w:pPr>
        <w:spacing w:line="360" w:lineRule="auto"/>
        <w:ind w:firstLine="360" w:firstLineChars="15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采用法定计量单位。在一个组合单位符号的表示中只可以采用1条斜线的形式，如 N/m</w:t>
      </w:r>
      <w:r>
        <w:rPr>
          <w:rFonts w:hint="eastAsia" w:cs="宋体"/>
          <w:bCs/>
          <w:color w:val="000000"/>
          <w:kern w:val="0"/>
          <w:sz w:val="24"/>
          <w:szCs w:val="24"/>
          <w:vertAlign w:val="superscript"/>
        </w:rPr>
        <w:t>2</w:t>
      </w:r>
      <w:r>
        <w:rPr>
          <w:rFonts w:hint="eastAsia" w:cs="宋体"/>
          <w:bCs/>
          <w:color w:val="000000"/>
          <w:kern w:val="0"/>
          <w:sz w:val="24"/>
          <w:szCs w:val="24"/>
        </w:rPr>
        <w:t>、J/kg 等表示；若有 2 个以上单位时，应采用负数幂的形式表示，如“kg</w:t>
      </w:r>
      <w:r>
        <w:rPr>
          <w:rFonts w:hint="eastAsia" w:cs="宋体"/>
          <w:bCs/>
          <w:color w:val="000000"/>
          <w:kern w:val="0"/>
          <w:sz w:val="24"/>
          <w:szCs w:val="24"/>
          <w:vertAlign w:val="superscript"/>
        </w:rPr>
        <w:t>.</w:t>
      </w:r>
      <w:r>
        <w:rPr>
          <w:rFonts w:hint="eastAsia" w:cs="宋体"/>
          <w:bCs/>
          <w:color w:val="000000"/>
          <w:kern w:val="0"/>
          <w:sz w:val="24"/>
          <w:szCs w:val="24"/>
        </w:rPr>
        <w:t>m/s</w:t>
      </w:r>
      <w:r>
        <w:rPr>
          <w:rFonts w:hint="eastAsia" w:cs="宋体"/>
          <w:bCs/>
          <w:color w:val="000000"/>
          <w:kern w:val="0"/>
          <w:sz w:val="24"/>
          <w:szCs w:val="24"/>
          <w:vertAlign w:val="superscript"/>
        </w:rPr>
        <w:t>2</w:t>
      </w:r>
      <w:r>
        <w:rPr>
          <w:rFonts w:hint="eastAsia" w:cs="宋体"/>
          <w:bCs/>
          <w:color w:val="000000"/>
          <w:kern w:val="0"/>
          <w:sz w:val="24"/>
          <w:szCs w:val="24"/>
        </w:rPr>
        <w:t>”可用 “kg</w:t>
      </w:r>
      <w:r>
        <w:rPr>
          <w:rFonts w:hint="eastAsia" w:cs="宋体"/>
          <w:bCs/>
          <w:color w:val="000000"/>
          <w:kern w:val="0"/>
          <w:sz w:val="24"/>
          <w:szCs w:val="24"/>
          <w:vertAlign w:val="superscript"/>
        </w:rPr>
        <w:t>.</w:t>
      </w:r>
      <w:r>
        <w:rPr>
          <w:rFonts w:hint="eastAsia" w:cs="宋体"/>
          <w:bCs/>
          <w:color w:val="000000"/>
          <w:kern w:val="0"/>
          <w:sz w:val="24"/>
          <w:szCs w:val="24"/>
        </w:rPr>
        <w:t>m</w:t>
      </w:r>
      <w:r>
        <w:rPr>
          <w:rFonts w:hint="eastAsia" w:cs="宋体"/>
          <w:bCs/>
          <w:color w:val="000000"/>
          <w:kern w:val="0"/>
          <w:sz w:val="24"/>
          <w:szCs w:val="24"/>
          <w:vertAlign w:val="superscript"/>
        </w:rPr>
        <w:t>.</w:t>
      </w:r>
      <w:r>
        <w:rPr>
          <w:rFonts w:hint="eastAsia" w:cs="宋体"/>
          <w:bCs/>
          <w:color w:val="000000"/>
          <w:kern w:val="0"/>
          <w:sz w:val="24"/>
          <w:szCs w:val="24"/>
        </w:rPr>
        <w:t>s</w:t>
      </w:r>
      <w:r>
        <w:rPr>
          <w:rFonts w:hint="eastAsia" w:cs="宋体"/>
          <w:bCs/>
          <w:color w:val="000000"/>
          <w:kern w:val="0"/>
          <w:sz w:val="24"/>
          <w:szCs w:val="24"/>
          <w:vertAlign w:val="superscript"/>
        </w:rPr>
        <w:t>-2</w:t>
      </w:r>
      <w:r>
        <w:rPr>
          <w:rFonts w:hint="eastAsia" w:cs="宋体"/>
          <w:bCs/>
          <w:color w:val="000000"/>
          <w:kern w:val="0"/>
          <w:sz w:val="24"/>
          <w:szCs w:val="24"/>
        </w:rPr>
        <w:t>”表示。其他如：40%~60%应为40~60%；2×3 cm</w:t>
      </w:r>
      <w:r>
        <w:rPr>
          <w:rFonts w:hint="eastAsia" w:cs="宋体"/>
          <w:bCs/>
          <w:color w:val="000000"/>
          <w:kern w:val="0"/>
          <w:sz w:val="24"/>
          <w:szCs w:val="24"/>
          <w:vertAlign w:val="superscript"/>
        </w:rPr>
        <w:t>2</w:t>
      </w:r>
      <w:r>
        <w:rPr>
          <w:rFonts w:hint="eastAsia" w:cs="宋体"/>
          <w:bCs/>
          <w:color w:val="000000"/>
          <w:kern w:val="0"/>
          <w:sz w:val="24"/>
          <w:szCs w:val="24"/>
        </w:rPr>
        <w:t>应写成2 cm×3 cm；“ppm”应写为“10</w:t>
      </w:r>
      <w:r>
        <w:rPr>
          <w:rFonts w:hint="eastAsia" w:cs="宋体"/>
          <w:bCs/>
          <w:color w:val="000000"/>
          <w:kern w:val="0"/>
          <w:sz w:val="24"/>
          <w:szCs w:val="24"/>
          <w:vertAlign w:val="superscript"/>
        </w:rPr>
        <w:t>-6</w:t>
      </w:r>
      <w:r>
        <w:rPr>
          <w:rFonts w:hint="eastAsia" w:cs="宋体"/>
          <w:bCs/>
          <w:color w:val="000000"/>
          <w:kern w:val="0"/>
          <w:sz w:val="24"/>
          <w:szCs w:val="24"/>
        </w:rPr>
        <w:t>”。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2.13数字</w:t>
      </w:r>
    </w:p>
    <w:p>
      <w:pPr>
        <w:spacing w:line="360" w:lineRule="auto"/>
        <w:ind w:firstLine="120" w:firstLineChars="50"/>
        <w:rPr>
          <w:rFonts w:ascii="方正书宋简体" w:hAnsi="方正书宋简体" w:eastAsia="方正书宋简体" w:cs="方正书宋简体"/>
          <w:color w:val="000000"/>
          <w:sz w:val="27"/>
          <w:szCs w:val="27"/>
          <w:shd w:val="clear" w:color="auto" w:fill="FFFFFF"/>
        </w:rPr>
      </w:pPr>
      <w:r>
        <w:rPr>
          <w:rFonts w:cs="宋体"/>
          <w:bCs/>
          <w:color w:val="000000"/>
          <w:kern w:val="0"/>
          <w:sz w:val="24"/>
          <w:szCs w:val="24"/>
        </w:rPr>
        <w:t xml:space="preserve"> 凡是可以使用阿拉伯数字且很得体的地方</w:t>
      </w:r>
      <w:r>
        <w:rPr>
          <w:rFonts w:hint="eastAsia" w:cs="宋体"/>
          <w:bCs/>
          <w:color w:val="000000"/>
          <w:kern w:val="0"/>
          <w:sz w:val="24"/>
          <w:szCs w:val="24"/>
        </w:rPr>
        <w:t>,</w:t>
      </w:r>
      <w:r>
        <w:rPr>
          <w:rFonts w:cs="宋体"/>
          <w:bCs/>
          <w:color w:val="000000"/>
          <w:kern w:val="0"/>
          <w:sz w:val="24"/>
          <w:szCs w:val="24"/>
        </w:rPr>
        <w:t>均应使用阿拉伯数字。一系列数值的计量单位一致时</w:t>
      </w:r>
      <w:r>
        <w:rPr>
          <w:rFonts w:hint="eastAsia" w:cs="宋体"/>
          <w:bCs/>
          <w:color w:val="000000"/>
          <w:kern w:val="0"/>
          <w:sz w:val="24"/>
          <w:szCs w:val="24"/>
        </w:rPr>
        <w:t>，</w:t>
      </w:r>
      <w:r>
        <w:rPr>
          <w:rFonts w:cs="宋体"/>
          <w:bCs/>
          <w:color w:val="000000"/>
          <w:kern w:val="0"/>
          <w:sz w:val="24"/>
          <w:szCs w:val="24"/>
        </w:rPr>
        <w:t> 只在最末一个数值后标明单位即可</w:t>
      </w:r>
      <w:r>
        <w:rPr>
          <w:rFonts w:hint="eastAsia" w:cs="宋体"/>
          <w:bCs/>
          <w:color w:val="000000"/>
          <w:kern w:val="0"/>
          <w:sz w:val="24"/>
          <w:szCs w:val="24"/>
        </w:rPr>
        <w:t>，</w:t>
      </w:r>
      <w:r>
        <w:rPr>
          <w:rFonts w:cs="宋体"/>
          <w:bCs/>
          <w:color w:val="000000"/>
          <w:kern w:val="0"/>
          <w:sz w:val="24"/>
          <w:szCs w:val="24"/>
        </w:rPr>
        <w:t>如5, 10, 15, 20 mol/L。单位相同的量值范围, 前一个量值单位可以省略, 如3~6 kg。其他如: 4×109~7×109或(4~7) ×109, (25±1) </w:t>
      </w:r>
      <w:r>
        <w:rPr>
          <w:rFonts w:hint="eastAsia" w:cs="宋体"/>
          <w:bCs/>
          <w:color w:val="000000"/>
          <w:kern w:val="0"/>
          <w:sz w:val="24"/>
          <w:szCs w:val="24"/>
        </w:rPr>
        <w:t>℃</w:t>
      </w:r>
      <w:r>
        <w:rPr>
          <w:rFonts w:cs="宋体"/>
          <w:bCs/>
          <w:color w:val="000000"/>
          <w:kern w:val="0"/>
          <w:sz w:val="24"/>
          <w:szCs w:val="24"/>
        </w:rPr>
        <w:t>。以百分数表示的均数±标准差应写作(40.5±0.6)%。完整数字不移行。分数则横写,如2/6, 4/7。数值的修约应为“4舍6入5进单”。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2.14统计学符号</w:t>
      </w:r>
    </w:p>
    <w:p>
      <w:pPr>
        <w:spacing w:line="360" w:lineRule="auto"/>
        <w:ind w:firstLine="360" w:firstLineChars="15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cs="宋体"/>
          <w:bCs/>
          <w:color w:val="00000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0" allowOverlap="1">
            <wp:simplePos x="0" y="0"/>
            <wp:positionH relativeFrom="column">
              <wp:posOffset>2525395</wp:posOffset>
            </wp:positionH>
            <wp:positionV relativeFrom="paragraph">
              <wp:posOffset>95885</wp:posOffset>
            </wp:positionV>
            <wp:extent cx="123825" cy="247650"/>
            <wp:effectExtent l="0" t="0" r="13335" b="11430"/>
            <wp:wrapNone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宋体"/>
          <w:bCs/>
          <w:color w:val="000000"/>
          <w:kern w:val="0"/>
          <w:sz w:val="24"/>
          <w:szCs w:val="24"/>
        </w:rPr>
        <w:t>统计学符号均用斜体</w:t>
      </w:r>
      <w:r>
        <w:rPr>
          <w:rFonts w:hint="eastAsia" w:cs="宋体"/>
          <w:bCs/>
          <w:color w:val="000000"/>
          <w:kern w:val="0"/>
          <w:sz w:val="24"/>
          <w:szCs w:val="24"/>
        </w:rPr>
        <w:t>,</w:t>
      </w:r>
      <w:r>
        <w:rPr>
          <w:rFonts w:cs="宋体"/>
          <w:bCs/>
          <w:color w:val="000000"/>
          <w:kern w:val="0"/>
          <w:sz w:val="24"/>
          <w:szCs w:val="24"/>
        </w:rPr>
        <w:t>如P(概率)、</w:t>
      </w:r>
      <w:r>
        <w:rPr>
          <w:rFonts w:cs="宋体"/>
          <w:bCs/>
          <w:color w:val="000000"/>
          <w:kern w:val="0"/>
          <w:sz w:val="24"/>
          <w:szCs w:val="24"/>
        </w:rPr>
        <mc:AlternateContent>
          <mc:Choice Requires="wps">
            <w:drawing>
              <wp:inline distT="0" distB="0" distL="114300" distR="114300">
                <wp:extent cx="123825" cy="247650"/>
                <wp:effectExtent l="0" t="0" r="0" b="0"/>
                <wp:docPr id="1" name="矩形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38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style="height:19.5pt;width:9.75pt;" filled="f" stroked="f" coordsize="21600,21600" o:gfxdata="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1RwdC&#10;1QAAAAMBAAAPAAAAAAAAAAEAIAAAACIAAABkcnMvZG93bnJldi54bWxQSwECFAAUAAAACACHTuJA&#10;E6l8YCQCAAA9BAAADgAAAAAAAAABACAAAAAkAQAAZHJzL2Uyb0RvYy54bWxQSwUGAAAAAAYABgBZ&#10;AQAAugUAAAAA&#10;">
                <v:fill on="f" focussize="0,0"/>
                <v:stroke on="f" miterlimit="8" joinstyle="miter"/>
                <v:imagedata o:title=""/>
                <o:lock v:ext="edit" aspectratio="t"/>
                <w10:wrap type="none"/>
                <w10:anchorlock/>
              </v:rect>
            </w:pict>
          </mc:Fallback>
        </mc:AlternateContent>
      </w:r>
      <w:r>
        <w:rPr>
          <w:rFonts w:cs="宋体"/>
          <w:bCs/>
          <w:color w:val="000000"/>
          <w:kern w:val="0"/>
          <w:sz w:val="24"/>
          <w:szCs w:val="24"/>
        </w:rPr>
        <w:t>(样本的算术平均数)、s(标准差)、Sx(标准误)、t(t检验)、F(F检验)、x2 (卡方检验)、r(相关系数)、ν(自由度)等</w:t>
      </w:r>
      <w:r>
        <w:rPr>
          <w:rFonts w:hint="eastAsia" w:cs="宋体"/>
          <w:bCs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2.15参考文献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研究论文的</w:t>
      </w:r>
      <w:r>
        <w:rPr>
          <w:rFonts w:cs="宋体"/>
          <w:bCs/>
          <w:color w:val="000000"/>
          <w:kern w:val="0"/>
          <w:sz w:val="24"/>
          <w:szCs w:val="24"/>
        </w:rPr>
        <w:t>参考文献不少于1</w:t>
      </w:r>
      <w:r>
        <w:rPr>
          <w:rFonts w:hint="eastAsia" w:cs="宋体"/>
          <w:bCs/>
          <w:color w:val="000000"/>
          <w:kern w:val="0"/>
          <w:sz w:val="24"/>
          <w:szCs w:val="24"/>
        </w:rPr>
        <w:t>5</w:t>
      </w:r>
      <w:r>
        <w:rPr>
          <w:rFonts w:cs="宋体"/>
          <w:bCs/>
          <w:color w:val="000000"/>
          <w:kern w:val="0"/>
          <w:sz w:val="24"/>
          <w:szCs w:val="24"/>
        </w:rPr>
        <w:t>条,</w:t>
      </w:r>
      <w:r>
        <w:rPr>
          <w:rFonts w:hint="eastAsia" w:cs="宋体"/>
          <w:bCs/>
          <w:color w:val="000000"/>
          <w:kern w:val="0"/>
          <w:sz w:val="24"/>
          <w:szCs w:val="24"/>
        </w:rPr>
        <w:t>综述的参考文献不少于50条。增加近2~3年的文献引用量</w:t>
      </w:r>
      <w:r>
        <w:rPr>
          <w:rFonts w:cs="宋体"/>
          <w:bCs/>
          <w:color w:val="000000"/>
          <w:kern w:val="0"/>
          <w:sz w:val="24"/>
          <w:szCs w:val="24"/>
        </w:rPr>
        <w:t>。与正文无关的参考文献请不要列入，</w:t>
      </w:r>
      <w:r>
        <w:rPr>
          <w:rFonts w:hint="eastAsia" w:cs="宋体"/>
          <w:bCs/>
          <w:color w:val="000000"/>
          <w:kern w:val="0"/>
          <w:sz w:val="24"/>
          <w:szCs w:val="24"/>
        </w:rPr>
        <w:t>所有</w:t>
      </w:r>
      <w:r>
        <w:rPr>
          <w:rFonts w:cs="宋体"/>
          <w:bCs/>
          <w:color w:val="000000"/>
          <w:kern w:val="0"/>
          <w:sz w:val="24"/>
          <w:szCs w:val="24"/>
        </w:rPr>
        <w:t>参考文献采用顺序编码的方式，</w:t>
      </w:r>
      <w:r>
        <w:rPr>
          <w:rFonts w:hint="eastAsia" w:cs="宋体"/>
          <w:bCs/>
          <w:color w:val="000000"/>
          <w:kern w:val="0"/>
          <w:sz w:val="24"/>
          <w:szCs w:val="24"/>
        </w:rPr>
        <w:t>并在正文按顺序标注引用位置。</w:t>
      </w:r>
      <w:r>
        <w:rPr>
          <w:rFonts w:cs="宋体"/>
          <w:bCs/>
          <w:color w:val="000000"/>
          <w:kern w:val="0"/>
          <w:sz w:val="24"/>
          <w:szCs w:val="24"/>
        </w:rPr>
        <w:t>引用期刊</w:t>
      </w:r>
      <w:r>
        <w:rPr>
          <w:rFonts w:hint="eastAsia" w:cs="宋体"/>
          <w:bCs/>
          <w:color w:val="000000"/>
          <w:kern w:val="0"/>
          <w:sz w:val="24"/>
          <w:szCs w:val="24"/>
        </w:rPr>
        <w:t>文献</w:t>
      </w:r>
      <w:r>
        <w:rPr>
          <w:rFonts w:cs="宋体"/>
          <w:bCs/>
          <w:color w:val="000000"/>
          <w:kern w:val="0"/>
          <w:sz w:val="24"/>
          <w:szCs w:val="24"/>
        </w:rPr>
        <w:t>，</w:t>
      </w:r>
      <w:r>
        <w:rPr>
          <w:rFonts w:hint="eastAsia" w:cs="宋体"/>
          <w:bCs/>
          <w:color w:val="000000"/>
          <w:kern w:val="0"/>
          <w:sz w:val="24"/>
          <w:szCs w:val="24"/>
        </w:rPr>
        <w:t>参考文献</w:t>
      </w:r>
      <w:r>
        <w:rPr>
          <w:rFonts w:cs="宋体"/>
          <w:bCs/>
          <w:color w:val="000000"/>
          <w:kern w:val="0"/>
          <w:sz w:val="24"/>
          <w:szCs w:val="24"/>
        </w:rPr>
        <w:t>格式为“作者名．文献题名[J]．期刊名，年，卷（期）：起止页码”；</w:t>
      </w:r>
      <w:r>
        <w:rPr>
          <w:rFonts w:hint="eastAsia" w:cs="宋体"/>
          <w:bCs/>
          <w:color w:val="000000"/>
          <w:kern w:val="0"/>
          <w:sz w:val="24"/>
          <w:szCs w:val="24"/>
        </w:rPr>
        <w:t>正文中引用</w:t>
      </w:r>
      <w:r>
        <w:rPr>
          <w:rFonts w:cs="宋体"/>
          <w:bCs/>
          <w:color w:val="000000"/>
          <w:kern w:val="0"/>
          <w:sz w:val="24"/>
          <w:szCs w:val="24"/>
        </w:rPr>
        <w:t>格式</w:t>
      </w:r>
      <w:r>
        <w:rPr>
          <w:rFonts w:hint="eastAsia" w:cs="宋体"/>
          <w:bCs/>
          <w:color w:val="000000"/>
          <w:kern w:val="0"/>
          <w:sz w:val="24"/>
          <w:szCs w:val="24"/>
        </w:rPr>
        <w:t>为</w:t>
      </w:r>
      <w:r>
        <w:rPr>
          <w:rFonts w:cs="宋体"/>
          <w:bCs/>
          <w:color w:val="000000"/>
          <w:kern w:val="0"/>
          <w:sz w:val="24"/>
          <w:szCs w:val="24"/>
        </w:rPr>
        <w:t>：视觉机器人的工作模式有以下三种[1]</w:t>
      </w:r>
      <w:r>
        <w:rPr>
          <w:rFonts w:hint="eastAsia" w:cs="宋体"/>
          <w:bCs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参考文献</w:t>
      </w:r>
      <w:r>
        <w:rPr>
          <w:rFonts w:cs="宋体"/>
          <w:bCs/>
          <w:color w:val="000000"/>
          <w:kern w:val="0"/>
          <w:sz w:val="24"/>
          <w:szCs w:val="24"/>
        </w:rPr>
        <w:t>作者不超过</w:t>
      </w:r>
      <w:r>
        <w:rPr>
          <w:rFonts w:hint="eastAsia" w:cs="宋体"/>
          <w:bCs/>
          <w:color w:val="000000"/>
          <w:kern w:val="0"/>
          <w:sz w:val="24"/>
          <w:szCs w:val="24"/>
        </w:rPr>
        <w:t>3</w:t>
      </w:r>
      <w:r>
        <w:rPr>
          <w:rFonts w:cs="宋体"/>
          <w:bCs/>
          <w:color w:val="000000"/>
          <w:kern w:val="0"/>
          <w:sz w:val="24"/>
          <w:szCs w:val="24"/>
        </w:rPr>
        <w:t>位应全列出,姓名之间用逗号“, ”隔开; 4位以上作者应写出前3位作者,再加逗号及“等”或“et al.”。英文文献中的作者姓名写法为</w:t>
      </w:r>
      <w:r>
        <w:rPr>
          <w:rFonts w:hint="eastAsia" w:cs="宋体"/>
          <w:bCs/>
          <w:color w:val="000000"/>
          <w:kern w:val="0"/>
          <w:sz w:val="24"/>
          <w:szCs w:val="24"/>
        </w:rPr>
        <w:t>：</w:t>
      </w:r>
      <w:r>
        <w:rPr>
          <w:rFonts w:cs="宋体"/>
          <w:bCs/>
          <w:color w:val="000000"/>
          <w:kern w:val="0"/>
          <w:sz w:val="24"/>
          <w:szCs w:val="24"/>
        </w:rPr>
        <w:t>完整姓氏在前,名字采用缩写字母在后</w:t>
      </w:r>
      <w:r>
        <w:rPr>
          <w:rFonts w:hint="eastAsia" w:cs="宋体"/>
          <w:bCs/>
          <w:color w:val="000000"/>
          <w:kern w:val="0"/>
          <w:sz w:val="24"/>
          <w:szCs w:val="24"/>
        </w:rPr>
        <w:t>（均采用大写）</w:t>
      </w:r>
      <w:r>
        <w:rPr>
          <w:rFonts w:cs="宋体"/>
          <w:bCs/>
          <w:color w:val="000000"/>
          <w:kern w:val="0"/>
          <w:sz w:val="24"/>
          <w:szCs w:val="24"/>
        </w:rPr>
        <w:t>。参考文献中的期刊刊名用标准缩写。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参考文献的书写标准请到本网站的“下载专区”栏目中下载。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2.16作者简介（中英文对照）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文后附主要作者简介，内容包括：照片、姓名、职称或学历、主要研究方向、E-mail。标准格式参见本网站的“下载专区”中《仪器仪表学报》论文模板。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3投稿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3.1投稿规则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cs="宋体"/>
          <w:bCs/>
          <w:color w:val="000000"/>
          <w:kern w:val="0"/>
          <w:sz w:val="24"/>
          <w:szCs w:val="24"/>
        </w:rPr>
        <w:t>请作者投稿前仔细阅读“投稿须知”。一旦投稿，即被自动认为全部作者已阅读、并已理解和接受“投稿须知”的内容和要求。投稿</w:t>
      </w:r>
      <w:r>
        <w:rPr>
          <w:rFonts w:hint="eastAsia" w:cs="宋体"/>
          <w:bCs/>
          <w:color w:val="000000"/>
          <w:kern w:val="0"/>
          <w:sz w:val="24"/>
          <w:szCs w:val="24"/>
        </w:rPr>
        <w:t>后自动生成一个以J开头的稿件编号即为投稿成功，投稿同时须交纳稿件处理费 300 元，同事需提交作者声明(可在本刊网站下载)，</w:t>
      </w:r>
      <w:r>
        <w:rPr>
          <w:rFonts w:cs="宋体"/>
          <w:bCs/>
          <w:color w:val="000000"/>
          <w:kern w:val="0"/>
          <w:sz w:val="24"/>
          <w:szCs w:val="24"/>
        </w:rPr>
        <w:t>证明稿件内容属实、无一稿</w:t>
      </w:r>
      <w:r>
        <w:rPr>
          <w:rFonts w:hint="eastAsia" w:cs="宋体"/>
          <w:bCs/>
          <w:color w:val="000000"/>
          <w:kern w:val="0"/>
          <w:sz w:val="24"/>
          <w:szCs w:val="24"/>
        </w:rPr>
        <w:t>多</w:t>
      </w:r>
      <w:r>
        <w:rPr>
          <w:rFonts w:cs="宋体"/>
          <w:bCs/>
          <w:color w:val="000000"/>
          <w:kern w:val="0"/>
          <w:sz w:val="24"/>
          <w:szCs w:val="24"/>
        </w:rPr>
        <w:t>投、不涉及秘密、署名无争议、同意发表、联系作者的姓名和联系方式以及所有作者同意论文录用后,</w:t>
      </w:r>
      <w:r>
        <w:rPr>
          <w:rFonts w:cs="宋体"/>
          <w:bCs/>
          <w:kern w:val="0"/>
          <w:sz w:val="24"/>
          <w:szCs w:val="24"/>
        </w:rPr>
        <w:t> </w:t>
      </w:r>
      <w:r>
        <w:rPr>
          <w:rFonts w:cs="宋体"/>
          <w:bCs/>
          <w:color w:val="000000"/>
          <w:kern w:val="0"/>
          <w:sz w:val="24"/>
          <w:szCs w:val="24"/>
        </w:rPr>
        <w:t>其版权和网络信息传播权自动转移给本刊的声明。所有作者同意论文录用后，即视为所有作者同意将著作权中的修改权、复制权、发行权、信息网络传播权、翻译权、汇编权在全世界范围内转让给本刊。未经本刊书面许可，作者不得授权他人或组织以任何形式汇编、转载、出版本文的任何部分。若发生一稿多投、泄密、侵权等问题，一切责任由作者承担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3.2稿件处理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cs="宋体"/>
          <w:bCs/>
          <w:color w:val="000000"/>
          <w:kern w:val="0"/>
          <w:sz w:val="24"/>
          <w:szCs w:val="24"/>
        </w:rPr>
        <w:t>登录网上投稿系统投稿后会收到</w:t>
      </w:r>
      <w:r>
        <w:rPr>
          <w:rFonts w:hint="eastAsia" w:cs="宋体"/>
          <w:bCs/>
          <w:color w:val="000000"/>
          <w:kern w:val="0"/>
          <w:sz w:val="24"/>
          <w:szCs w:val="24"/>
        </w:rPr>
        <w:t>投稿成功</w:t>
      </w:r>
      <w:r>
        <w:rPr>
          <w:rFonts w:cs="宋体"/>
          <w:bCs/>
          <w:color w:val="000000"/>
          <w:kern w:val="0"/>
          <w:sz w:val="24"/>
          <w:szCs w:val="24"/>
        </w:rPr>
        <w:t>邮件到通讯作者邮箱</w:t>
      </w:r>
      <w:r>
        <w:rPr>
          <w:rFonts w:hint="eastAsia" w:cs="宋体"/>
          <w:bCs/>
          <w:color w:val="000000"/>
          <w:kern w:val="0"/>
          <w:sz w:val="24"/>
          <w:szCs w:val="24"/>
        </w:rPr>
        <w:t>，</w:t>
      </w:r>
      <w:r>
        <w:rPr>
          <w:rFonts w:cs="宋体"/>
          <w:bCs/>
          <w:color w:val="000000"/>
          <w:kern w:val="0"/>
          <w:sz w:val="24"/>
          <w:szCs w:val="24"/>
        </w:rPr>
        <w:t>编辑部送审</w:t>
      </w:r>
      <w:r>
        <w:rPr>
          <w:rFonts w:hint="eastAsia" w:cs="宋体"/>
          <w:bCs/>
          <w:color w:val="000000"/>
          <w:kern w:val="0"/>
          <w:sz w:val="24"/>
          <w:szCs w:val="24"/>
        </w:rPr>
        <w:t>稿件，评审周期3-4个月</w:t>
      </w:r>
      <w:r>
        <w:rPr>
          <w:rFonts w:cs="宋体"/>
          <w:bCs/>
          <w:color w:val="000000"/>
          <w:kern w:val="0"/>
          <w:sz w:val="24"/>
          <w:szCs w:val="24"/>
        </w:rPr>
        <w:t>。</w:t>
      </w:r>
      <w:r>
        <w:rPr>
          <w:rFonts w:hint="eastAsia" w:cs="宋体"/>
          <w:bCs/>
          <w:color w:val="000000"/>
          <w:kern w:val="0"/>
          <w:sz w:val="24"/>
          <w:szCs w:val="24"/>
        </w:rPr>
        <w:t>包括初审、外审、终审3个阶段，为提高审稿效率，请作者及时查看稿件状态，及时回传修改稿件</w:t>
      </w:r>
      <w:r>
        <w:rPr>
          <w:rFonts w:cs="宋体"/>
          <w:bCs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3.3出版费用</w:t>
      </w:r>
    </w:p>
    <w:p>
      <w:pPr>
        <w:spacing w:line="360" w:lineRule="auto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《仪器仪表学报》</w:t>
      </w:r>
      <w:r>
        <w:rPr>
          <w:rFonts w:cs="宋体"/>
          <w:bCs/>
          <w:color w:val="000000"/>
          <w:kern w:val="0"/>
          <w:sz w:val="24"/>
          <w:szCs w:val="24"/>
        </w:rPr>
        <w:t>收费标准</w:t>
      </w:r>
      <w:r>
        <w:rPr>
          <w:rFonts w:hint="eastAsia" w:cs="宋体"/>
          <w:bCs/>
          <w:color w:val="000000"/>
          <w:kern w:val="0"/>
          <w:sz w:val="24"/>
          <w:szCs w:val="24"/>
        </w:rPr>
        <w:t>为</w:t>
      </w:r>
      <w:r>
        <w:rPr>
          <w:rFonts w:cs="宋体"/>
          <w:bCs/>
          <w:color w:val="000000"/>
          <w:kern w:val="0"/>
          <w:sz w:val="24"/>
          <w:szCs w:val="24"/>
        </w:rPr>
        <w:br w:type="textWrapping"/>
      </w:r>
      <w:r>
        <w:rPr>
          <w:rFonts w:cs="宋体"/>
          <w:bCs/>
          <w:color w:val="000000"/>
          <w:kern w:val="0"/>
          <w:sz w:val="24"/>
          <w:szCs w:val="24"/>
        </w:rPr>
        <w:t>审稿费：</w:t>
      </w:r>
      <w:r>
        <w:rPr>
          <w:rFonts w:hint="eastAsia" w:cs="宋体"/>
          <w:bCs/>
          <w:color w:val="000000"/>
          <w:kern w:val="0"/>
          <w:sz w:val="24"/>
          <w:szCs w:val="24"/>
        </w:rPr>
        <w:t>300</w:t>
      </w:r>
      <w:r>
        <w:rPr>
          <w:rFonts w:cs="宋体"/>
          <w:bCs/>
          <w:color w:val="000000"/>
          <w:kern w:val="0"/>
          <w:sz w:val="24"/>
          <w:szCs w:val="24"/>
        </w:rPr>
        <w:t>元/篇；</w:t>
      </w:r>
      <w:r>
        <w:rPr>
          <w:rFonts w:cs="宋体"/>
          <w:bCs/>
          <w:color w:val="000000"/>
          <w:kern w:val="0"/>
          <w:sz w:val="24"/>
          <w:szCs w:val="24"/>
        </w:rPr>
        <w:br w:type="textWrapping"/>
      </w:r>
      <w:r>
        <w:rPr>
          <w:rFonts w:cs="宋体"/>
          <w:bCs/>
          <w:color w:val="000000"/>
          <w:kern w:val="0"/>
          <w:sz w:val="24"/>
          <w:szCs w:val="24"/>
        </w:rPr>
        <w:t>版面费：</w:t>
      </w:r>
      <w:r>
        <w:rPr>
          <w:rFonts w:hint="eastAsia" w:cs="宋体"/>
          <w:bCs/>
          <w:color w:val="000000"/>
          <w:kern w:val="0"/>
          <w:sz w:val="24"/>
          <w:szCs w:val="24"/>
        </w:rPr>
        <w:t>500</w:t>
      </w:r>
      <w:r>
        <w:rPr>
          <w:rFonts w:cs="宋体"/>
          <w:bCs/>
          <w:color w:val="000000"/>
          <w:kern w:val="0"/>
          <w:sz w:val="24"/>
          <w:szCs w:val="24"/>
        </w:rPr>
        <w:t>元/页；</w:t>
      </w:r>
    </w:p>
    <w:p>
      <w:pPr>
        <w:spacing w:line="360" w:lineRule="auto"/>
        <w:rPr>
          <w:rFonts w:ascii="方正书宋简体" w:hAnsi="方正书宋简体"/>
          <w:color w:val="000000"/>
          <w:spacing w:val="-4"/>
          <w:sz w:val="27"/>
          <w:szCs w:val="27"/>
          <w:shd w:val="clear" w:color="auto" w:fill="FFFFFF"/>
        </w:rPr>
      </w:pPr>
      <w:r>
        <w:rPr>
          <w:rFonts w:cs="宋体"/>
          <w:bCs/>
          <w:color w:val="000000"/>
          <w:kern w:val="0"/>
          <w:sz w:val="24"/>
          <w:szCs w:val="24"/>
        </w:rPr>
        <w:t>加急发表费：</w:t>
      </w:r>
      <w:r>
        <w:rPr>
          <w:rFonts w:hint="eastAsia" w:cs="宋体"/>
          <w:bCs/>
          <w:color w:val="000000"/>
          <w:kern w:val="0"/>
          <w:sz w:val="24"/>
          <w:szCs w:val="24"/>
        </w:rPr>
        <w:t>3000</w:t>
      </w:r>
      <w:r>
        <w:rPr>
          <w:rFonts w:cs="宋体"/>
          <w:bCs/>
          <w:color w:val="000000"/>
          <w:kern w:val="0"/>
          <w:sz w:val="24"/>
          <w:szCs w:val="24"/>
        </w:rPr>
        <w:t>元/</w:t>
      </w:r>
      <w:r>
        <w:rPr>
          <w:rFonts w:hint="eastAsia" w:cs="宋体"/>
          <w:bCs/>
          <w:color w:val="000000"/>
          <w:kern w:val="0"/>
          <w:sz w:val="24"/>
          <w:szCs w:val="24"/>
        </w:rPr>
        <w:t>篇；</w:t>
      </w:r>
      <w:r>
        <w:rPr>
          <w:rFonts w:ascii="方正书宋简体" w:hAnsi="方正书宋简体"/>
          <w:color w:val="000000"/>
          <w:spacing w:val="-4"/>
          <w:sz w:val="27"/>
          <w:szCs w:val="27"/>
          <w:shd w:val="clear" w:color="auto" w:fill="FFFFFF"/>
        </w:rPr>
        <w:br w:type="textWrapping"/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t>汇款方式为银行或网银汇款</w:t>
      </w:r>
      <w:r>
        <w:rPr>
          <w:rFonts w:hint="eastAsia" w:ascii="宋体" w:hAnsi="宋体" w:eastAsia="宋体" w:cs="宋体"/>
          <w:bCs/>
          <w:color w:val="000000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收款账号：0200004309014464348     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收款单位：中国仪器仪表学会           </w:t>
      </w:r>
    </w:p>
    <w:p>
      <w:pPr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开户银行：工商银行北京北新桥支行</w:t>
      </w:r>
      <w:r>
        <w:rPr>
          <w:rFonts w:hint="eastAsia" w:ascii="宋体" w:hAnsi="宋体" w:eastAsia="宋体" w:cs="宋体"/>
          <w:color w:val="000000"/>
          <w:spacing w:val="-4"/>
          <w:sz w:val="24"/>
          <w:szCs w:val="24"/>
          <w:shd w:val="clear" w:color="auto" w:fill="FFFFFF"/>
        </w:rPr>
        <w:br w:type="textWrapping"/>
      </w:r>
      <w:r>
        <w:rPr>
          <w:rFonts w:cs="宋体"/>
          <w:bCs/>
          <w:color w:val="000000"/>
          <w:kern w:val="0"/>
          <w:sz w:val="24"/>
          <w:szCs w:val="24"/>
        </w:rPr>
        <w:t>注：请在银行汇款备注栏上注明稿件编号</w:t>
      </w:r>
      <w:r>
        <w:rPr>
          <w:rFonts w:hint="eastAsia" w:cs="宋体"/>
          <w:bCs/>
          <w:color w:val="000000"/>
          <w:kern w:val="0"/>
          <w:sz w:val="24"/>
          <w:szCs w:val="24"/>
        </w:rPr>
        <w:t>及作者姓名</w:t>
      </w:r>
      <w:r>
        <w:rPr>
          <w:rFonts w:cs="宋体"/>
          <w:bCs/>
          <w:color w:val="000000"/>
          <w:kern w:val="0"/>
          <w:sz w:val="24"/>
          <w:szCs w:val="24"/>
        </w:rPr>
        <w:t>。</w:t>
      </w:r>
    </w:p>
    <w:p>
      <w:pPr>
        <w:spacing w:line="360" w:lineRule="auto"/>
        <w:rPr>
          <w:rFonts w:cs="宋体"/>
          <w:bCs/>
          <w:color w:val="000000"/>
          <w:kern w:val="0"/>
          <w:sz w:val="24"/>
          <w:szCs w:val="24"/>
        </w:rPr>
      </w:pPr>
    </w:p>
    <w:p>
      <w:pPr>
        <w:spacing w:line="360" w:lineRule="auto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3.4投稿方式</w:t>
      </w:r>
    </w:p>
    <w:p>
      <w:pPr>
        <w:spacing w:line="360" w:lineRule="auto"/>
        <w:ind w:firstLine="480" w:firstLineChars="200"/>
        <w:rPr>
          <w:rFonts w:cs="宋体"/>
          <w:bCs/>
          <w:color w:val="000000"/>
          <w:kern w:val="0"/>
          <w:sz w:val="24"/>
          <w:szCs w:val="24"/>
        </w:rPr>
      </w:pPr>
      <w:r>
        <w:rPr>
          <w:rFonts w:hint="eastAsia" w:cs="宋体"/>
          <w:bCs/>
          <w:color w:val="000000"/>
          <w:kern w:val="0"/>
          <w:sz w:val="24"/>
          <w:szCs w:val="24"/>
        </w:rPr>
        <w:t>请投稿作者登录：</w:t>
      </w:r>
      <w:r>
        <w:fldChar w:fldCharType="begin"/>
      </w:r>
      <w:r>
        <w:instrText xml:space="preserve"> HYPERLINK "http://www.etmchina.com" </w:instrText>
      </w:r>
      <w:r>
        <w:fldChar w:fldCharType="separate"/>
      </w:r>
      <w:r>
        <w:rPr>
          <w:rFonts w:hint="eastAsia" w:cs="宋体"/>
          <w:bCs/>
          <w:color w:val="000000"/>
          <w:kern w:val="0"/>
          <w:sz w:val="24"/>
          <w:szCs w:val="24"/>
        </w:rPr>
        <w:t>www.etmchina.com</w:t>
      </w:r>
      <w:r>
        <w:rPr>
          <w:rFonts w:hint="eastAsia" w:cs="宋体"/>
          <w:bCs/>
          <w:color w:val="000000"/>
          <w:kern w:val="0"/>
          <w:sz w:val="24"/>
          <w:szCs w:val="24"/>
        </w:rPr>
        <w:fldChar w:fldCharType="end"/>
      </w:r>
      <w:r>
        <w:rPr>
          <w:rFonts w:hint="eastAsia" w:cs="宋体"/>
          <w:bCs/>
          <w:color w:val="000000"/>
          <w:kern w:val="0"/>
          <w:sz w:val="24"/>
          <w:szCs w:val="24"/>
        </w:rPr>
        <w:t>，进行注册并网上提交稿件，以上方式为《仪器仪表学报》唯一投稿方式，邮箱不接受投稿。</w:t>
      </w:r>
    </w:p>
    <w:p>
      <w:pPr>
        <w:pStyle w:val="5"/>
        <w:spacing w:before="60" w:beforeAutospacing="0" w:after="0" w:afterAutospacing="0" w:line="300" w:lineRule="atLeast"/>
        <w:ind w:right="120"/>
        <w:rPr>
          <w:sz w:val="28"/>
          <w:szCs w:val="28"/>
        </w:rPr>
      </w:pPr>
    </w:p>
    <w:p>
      <w:pPr>
        <w:jc w:val="righ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《仪器仪表学报》编辑部</w:t>
      </w:r>
    </w:p>
    <w:p>
      <w:pPr>
        <w:jc w:val="righ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20</w:t>
      </w:r>
      <w:r>
        <w:rPr>
          <w:rFonts w:hint="eastAsia"/>
          <w:b/>
          <w:bCs/>
          <w:sz w:val="30"/>
          <w:szCs w:val="30"/>
          <w:lang w:val="en-US" w:eastAsia="zh-CN"/>
        </w:rPr>
        <w:t>24</w:t>
      </w:r>
      <w:r>
        <w:rPr>
          <w:rFonts w:hint="eastAsia"/>
          <w:b/>
          <w:bCs/>
          <w:sz w:val="30"/>
          <w:szCs w:val="30"/>
        </w:rPr>
        <w:t>年</w:t>
      </w:r>
      <w:r>
        <w:rPr>
          <w:rFonts w:hint="eastAsia"/>
          <w:b/>
          <w:bCs/>
          <w:sz w:val="30"/>
          <w:szCs w:val="30"/>
          <w:lang w:val="en-US" w:eastAsia="zh-CN"/>
        </w:rPr>
        <w:t>6</w:t>
      </w:r>
      <w:r>
        <w:rPr>
          <w:rFonts w:hint="eastAsia"/>
          <w:b/>
          <w:bCs/>
          <w:sz w:val="30"/>
          <w:szCs w:val="30"/>
        </w:rPr>
        <w:t>月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AA74E4"/>
    <w:rsid w:val="000C5973"/>
    <w:rsid w:val="000C5D06"/>
    <w:rsid w:val="000C7DBA"/>
    <w:rsid w:val="00151384"/>
    <w:rsid w:val="00163E25"/>
    <w:rsid w:val="0017752D"/>
    <w:rsid w:val="001E668A"/>
    <w:rsid w:val="00203F18"/>
    <w:rsid w:val="0028706B"/>
    <w:rsid w:val="002E72D7"/>
    <w:rsid w:val="003412BE"/>
    <w:rsid w:val="00414D81"/>
    <w:rsid w:val="00430A87"/>
    <w:rsid w:val="00480241"/>
    <w:rsid w:val="00523E2A"/>
    <w:rsid w:val="00584CB5"/>
    <w:rsid w:val="005B2E33"/>
    <w:rsid w:val="005B7596"/>
    <w:rsid w:val="005C3EAF"/>
    <w:rsid w:val="00644E26"/>
    <w:rsid w:val="006871BD"/>
    <w:rsid w:val="007D289A"/>
    <w:rsid w:val="007D744B"/>
    <w:rsid w:val="00881C81"/>
    <w:rsid w:val="008A6DFD"/>
    <w:rsid w:val="008B6DE3"/>
    <w:rsid w:val="008E17E8"/>
    <w:rsid w:val="00913245"/>
    <w:rsid w:val="0096142F"/>
    <w:rsid w:val="009B194A"/>
    <w:rsid w:val="00A33D1F"/>
    <w:rsid w:val="00AA74E4"/>
    <w:rsid w:val="00AB2BD5"/>
    <w:rsid w:val="00AE43A5"/>
    <w:rsid w:val="00B41C94"/>
    <w:rsid w:val="00B92C4F"/>
    <w:rsid w:val="00BB1624"/>
    <w:rsid w:val="00C03767"/>
    <w:rsid w:val="00C1785C"/>
    <w:rsid w:val="00C43808"/>
    <w:rsid w:val="00CB39B4"/>
    <w:rsid w:val="00D03B65"/>
    <w:rsid w:val="00D52A82"/>
    <w:rsid w:val="00D60780"/>
    <w:rsid w:val="00E40E1D"/>
    <w:rsid w:val="00E5034A"/>
    <w:rsid w:val="00E71596"/>
    <w:rsid w:val="00E84D7E"/>
    <w:rsid w:val="00EA26EF"/>
    <w:rsid w:val="00ED22F3"/>
    <w:rsid w:val="00EE05AA"/>
    <w:rsid w:val="00EE0929"/>
    <w:rsid w:val="00F01F02"/>
    <w:rsid w:val="00F46010"/>
    <w:rsid w:val="00FB18E7"/>
    <w:rsid w:val="15BC57E2"/>
    <w:rsid w:val="2EE5455A"/>
    <w:rsid w:val="60155B45"/>
    <w:rsid w:val="6F1756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6"/>
      <w:szCs w:val="20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336" w:lineRule="auto"/>
      <w:outlineLvl w:val="0"/>
    </w:pPr>
    <w:rPr>
      <w:b/>
      <w:kern w:val="36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autoRedefine/>
    <w:unhideWhenUsed/>
    <w:qFormat/>
    <w:uiPriority w:val="99"/>
    <w:pPr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styleId="8">
    <w:name w:val="Hyperlink"/>
    <w:autoRedefine/>
    <w:unhideWhenUsed/>
    <w:qFormat/>
    <w:uiPriority w:val="99"/>
    <w:rPr>
      <w:color w:val="1F1A17"/>
      <w:u w:val="none"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Times New Roman" w:hAnsi="Times New Roman" w:eastAsia="宋体" w:cs="Times New Roman"/>
      <w:b/>
      <w:kern w:val="36"/>
      <w:sz w:val="36"/>
      <w:szCs w:val="36"/>
    </w:rPr>
  </w:style>
  <w:style w:type="character" w:customStyle="1" w:styleId="12">
    <w:name w:val="apple-converted-space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3385</Words>
  <Characters>3735</Characters>
  <Lines>29</Lines>
  <Paragraphs>8</Paragraphs>
  <TotalTime>1</TotalTime>
  <ScaleCrop>false</ScaleCrop>
  <LinksUpToDate>false</LinksUpToDate>
  <CharactersWithSpaces>3793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2015-12-13T05:05:00Z</dcterms:created>
  <dc:creator>Admin</dc:creator>
  <cp:lastModifiedBy>殷佳丽</cp:lastModifiedBy>
  <dcterms:modified xsi:type="dcterms:W3CDTF">2024-07-01T02:16:43Z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1233C2E07C2C48428D77D022932DE5F4_13</vt:lpwstr>
  </property>
</Properties>
</file>